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5A8" w:rsidRDefault="006B5B91">
      <w:pPr>
        <w:rPr>
          <w:rFonts w:ascii="Times New Roman" w:hAnsi="Times New Roman" w:cs="Times New Roman"/>
          <w:b/>
          <w:sz w:val="24"/>
          <w:szCs w:val="24"/>
          <w:u w:val="single"/>
        </w:rPr>
      </w:pPr>
      <w:bookmarkStart w:id="0" w:name="_GoBack"/>
      <w:bookmarkEnd w:id="0"/>
      <w:r w:rsidRPr="006B5B91">
        <w:rPr>
          <w:rFonts w:ascii="Times New Roman" w:hAnsi="Times New Roman" w:cs="Times New Roman"/>
          <w:b/>
          <w:sz w:val="24"/>
          <w:szCs w:val="24"/>
          <w:u w:val="single"/>
        </w:rPr>
        <w:t>Section 1</w:t>
      </w:r>
    </w:p>
    <w:tbl>
      <w:tblPr>
        <w:tblW w:w="11716" w:type="dxa"/>
        <w:tblInd w:w="-934" w:type="dxa"/>
        <w:tblLook w:val="04A0" w:firstRow="1" w:lastRow="0" w:firstColumn="1" w:lastColumn="0" w:noHBand="0" w:noVBand="1"/>
      </w:tblPr>
      <w:tblGrid>
        <w:gridCol w:w="894"/>
        <w:gridCol w:w="1023"/>
        <w:gridCol w:w="1252"/>
        <w:gridCol w:w="1984"/>
        <w:gridCol w:w="851"/>
        <w:gridCol w:w="5712"/>
      </w:tblGrid>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b/>
                <w:bCs/>
                <w:color w:val="000000"/>
                <w:u w:val="single"/>
                <w:lang w:eastAsia="en-GB"/>
              </w:rPr>
            </w:pPr>
            <w:r w:rsidRPr="008009E8">
              <w:rPr>
                <w:rFonts w:ascii="Calibri" w:eastAsia="Times New Roman" w:hAnsi="Calibri" w:cs="Times New Roman"/>
                <w:b/>
                <w:bCs/>
                <w:color w:val="000000"/>
                <w:u w:val="single"/>
                <w:lang w:eastAsia="en-GB"/>
              </w:rPr>
              <w:t>Symbol</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b/>
                <w:bCs/>
                <w:color w:val="000000"/>
                <w:u w:val="single"/>
                <w:lang w:eastAsia="en-GB"/>
              </w:rPr>
            </w:pPr>
            <w:r w:rsidRPr="008009E8">
              <w:rPr>
                <w:rFonts w:ascii="Calibri" w:eastAsia="Times New Roman" w:hAnsi="Calibri" w:cs="Times New Roman"/>
                <w:b/>
                <w:bCs/>
                <w:color w:val="000000"/>
                <w:u w:val="single"/>
                <w:lang w:eastAsia="en-GB"/>
              </w:rPr>
              <w:t>Quantity</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b/>
                <w:bCs/>
                <w:color w:val="000000"/>
                <w:u w:val="single"/>
                <w:lang w:eastAsia="en-GB"/>
              </w:rPr>
            </w:pPr>
            <w:r w:rsidRPr="008009E8">
              <w:rPr>
                <w:rFonts w:ascii="Calibri" w:eastAsia="Times New Roman" w:hAnsi="Calibri" w:cs="Times New Roman"/>
                <w:b/>
                <w:bCs/>
                <w:color w:val="000000"/>
                <w:u w:val="single"/>
                <w:lang w:eastAsia="en-GB"/>
              </w:rPr>
              <w:t>Price</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b/>
                <w:bCs/>
                <w:color w:val="000000"/>
                <w:u w:val="single"/>
                <w:lang w:eastAsia="en-GB"/>
              </w:rPr>
            </w:pPr>
            <w:r w:rsidRPr="008009E8">
              <w:rPr>
                <w:rFonts w:ascii="Calibri" w:eastAsia="Times New Roman" w:hAnsi="Calibri" w:cs="Times New Roman"/>
                <w:b/>
                <w:bCs/>
                <w:color w:val="000000"/>
                <w:u w:val="single"/>
                <w:lang w:eastAsia="en-GB"/>
              </w:rPr>
              <w:t>Create</w:t>
            </w:r>
            <w:r w:rsidR="00132467">
              <w:rPr>
                <w:rFonts w:ascii="Calibri" w:eastAsia="Times New Roman" w:hAnsi="Calibri" w:cs="Times New Roman"/>
                <w:b/>
                <w:bCs/>
                <w:color w:val="000000"/>
                <w:u w:val="single"/>
                <w:lang w:eastAsia="en-GB"/>
              </w:rPr>
              <w:t xml:space="preserve"> </w:t>
            </w:r>
            <w:r w:rsidRPr="008009E8">
              <w:rPr>
                <w:rFonts w:ascii="Calibri" w:eastAsia="Times New Roman" w:hAnsi="Calibri" w:cs="Times New Roman"/>
                <w:b/>
                <w:bCs/>
                <w:color w:val="000000"/>
                <w:u w:val="single"/>
                <w:lang w:eastAsia="en-GB"/>
              </w:rPr>
              <w:t>Date</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b/>
                <w:bCs/>
                <w:color w:val="000000"/>
                <w:u w:val="single"/>
                <w:lang w:eastAsia="en-GB"/>
              </w:rPr>
            </w:pPr>
            <w:r w:rsidRPr="008009E8">
              <w:rPr>
                <w:rFonts w:ascii="Calibri" w:eastAsia="Times New Roman" w:hAnsi="Calibri" w:cs="Times New Roman"/>
                <w:b/>
                <w:bCs/>
                <w:color w:val="000000"/>
                <w:u w:val="single"/>
                <w:lang w:eastAsia="en-GB"/>
              </w:rPr>
              <w:t>Type</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b/>
                <w:bCs/>
                <w:color w:val="000000"/>
                <w:u w:val="single"/>
                <w:lang w:eastAsia="en-GB"/>
              </w:rPr>
            </w:pPr>
            <w:r w:rsidRPr="008009E8">
              <w:rPr>
                <w:rFonts w:ascii="Calibri" w:eastAsia="Times New Roman" w:hAnsi="Calibri" w:cs="Times New Roman"/>
                <w:b/>
                <w:bCs/>
                <w:color w:val="000000"/>
                <w:u w:val="single"/>
                <w:lang w:eastAsia="en-GB"/>
              </w:rPr>
              <w:t>Trade notes</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COST</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-200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$222.5800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11/28/2018 - 09:32</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Sell</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Stock values expected to decrease further</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CGC</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-300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$32.7500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11/28/2018 - 09:32</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Sell</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 xml:space="preserve">Poor uptake of medical marijuana </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WAL</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$47.0600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11/28/2018 - 09:32</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Sell</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Stock values expected to decrease further</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AAPL</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-400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$176.3700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11/28/2018 - 09:32</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Sell</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Poor performance of the stock</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T</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-350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$30.4300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11/28/2018 - 09:32</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Sell</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Poor performance of the stock</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SSTK</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$36.8900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11/28/2018 - 09:32</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Sell</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Poor performance of the stock</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PYPL</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-900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$82.5800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11/28/2018 - 09:32</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Sell</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Actualize the gains on the company</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VLO</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-200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$77.4100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11/28/2018 - 09:32</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Sell</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Energy sector dismal performance</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NATH</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-500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$68.5000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11/28/2018 - 09:32</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Sell</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 xml:space="preserve">Stock values have decreased significantly </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SCQBD</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-50000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$1.0615</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11/28/2018 - 09:30</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Sell</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Poor performance of the stock</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VLO</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200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$0.8000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11/19/2018 - 00:00</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Buy</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COST</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200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$0.5700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11/08/2018 - 00:00</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Buy</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COST</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200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$228.3800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10/18/2018 - 09:31</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Buy</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 xml:space="preserve">Portfolio </w:t>
            </w:r>
            <w:r w:rsidR="00132467" w:rsidRPr="008009E8">
              <w:rPr>
                <w:rFonts w:ascii="Calibri" w:eastAsia="Times New Roman" w:hAnsi="Calibri" w:cs="Times New Roman"/>
                <w:color w:val="000000"/>
                <w:lang w:eastAsia="en-GB"/>
              </w:rPr>
              <w:t>diversification</w:t>
            </w:r>
            <w:r w:rsidRPr="008009E8">
              <w:rPr>
                <w:rFonts w:ascii="Calibri" w:eastAsia="Times New Roman" w:hAnsi="Calibri" w:cs="Times New Roman"/>
                <w:color w:val="000000"/>
                <w:lang w:eastAsia="en-GB"/>
              </w:rPr>
              <w:t xml:space="preserve"> into retail business</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PYPL</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300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$80.2900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10/18/2018 - 09:31</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Buy</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Increase exposure to the company</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CGC</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300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$53.1300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10/16/2018 - 15:36</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Buy</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Expected uptake of medical marijuana by some states</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NKE</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-600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$77.1400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10/16/2018 - 15:24</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Sell</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To actualize the gains</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NATH</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500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$83.0000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10/16/2018 - 09:55</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Buy</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Earnings in Q2 were ou</w:t>
            </w:r>
            <w:r w:rsidR="00132467">
              <w:rPr>
                <w:rFonts w:ascii="Calibri" w:eastAsia="Times New Roman" w:hAnsi="Calibri" w:cs="Times New Roman"/>
                <w:color w:val="000000"/>
                <w:lang w:eastAsia="en-GB"/>
              </w:rPr>
              <w:t>t</w:t>
            </w:r>
            <w:r w:rsidRPr="008009E8">
              <w:rPr>
                <w:rFonts w:ascii="Calibri" w:eastAsia="Times New Roman" w:hAnsi="Calibri" w:cs="Times New Roman"/>
                <w:color w:val="000000"/>
                <w:lang w:eastAsia="en-GB"/>
              </w:rPr>
              <w:t>standing</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PYPL</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600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$78.9700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10/16/2018 - 09:35</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Buy</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 xml:space="preserve">Increased money transfers </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VLO</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200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$104.8100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10/16/2018 - 09:31</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Buy</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Portfolio diversification into the energy sector</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SSTK</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$47.8500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10/16/2018 - 09:31</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Buy</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Posted favourable results in their third quarter financial results</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SCQBD</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50000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$1.1595</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10/16/2018 - 09:31</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Buy</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Health sector portfolio diversification</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NKE</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300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$75.7400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10/16/2018 - 09:31</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Buy</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Portfolio diversification</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NKE</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300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$75.7400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10/16/2018 - 09:31</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Buy</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Portfolio diversification</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AAPL</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$228.0900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10/05/2018 - 09:31</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Buy</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More stock to cover up for loss</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WAL</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$57.6500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10/04/2018 - 09:32</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Buy</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Portfolio diversification into the banking sector</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T</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350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$33.8400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10/04/2018 - 09:32</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Buy</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Expected release of third quarter earnings</w:t>
            </w:r>
          </w:p>
        </w:tc>
      </w:tr>
      <w:tr w:rsidR="00132467" w:rsidRPr="008009E8" w:rsidTr="00132467">
        <w:trPr>
          <w:trHeight w:val="267"/>
        </w:trPr>
        <w:tc>
          <w:tcPr>
            <w:tcW w:w="89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AAPL</w:t>
            </w:r>
          </w:p>
        </w:tc>
        <w:tc>
          <w:tcPr>
            <w:tcW w:w="1023"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jc w:val="right"/>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300</w:t>
            </w:r>
          </w:p>
        </w:tc>
        <w:tc>
          <w:tcPr>
            <w:tcW w:w="125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$230.7500</w:t>
            </w:r>
          </w:p>
        </w:tc>
        <w:tc>
          <w:tcPr>
            <w:tcW w:w="1984"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10/04/2018 - 09:32</w:t>
            </w:r>
          </w:p>
        </w:tc>
        <w:tc>
          <w:tcPr>
            <w:tcW w:w="851"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Buy</w:t>
            </w:r>
          </w:p>
        </w:tc>
        <w:tc>
          <w:tcPr>
            <w:tcW w:w="5712" w:type="dxa"/>
            <w:tcBorders>
              <w:top w:val="nil"/>
              <w:left w:val="nil"/>
              <w:bottom w:val="nil"/>
              <w:right w:val="nil"/>
            </w:tcBorders>
            <w:shd w:val="clear" w:color="auto" w:fill="auto"/>
            <w:noWrap/>
            <w:vAlign w:val="bottom"/>
            <w:hideMark/>
          </w:tcPr>
          <w:p w:rsidR="008009E8" w:rsidRPr="008009E8" w:rsidRDefault="008009E8" w:rsidP="008009E8">
            <w:pPr>
              <w:spacing w:after="0" w:line="240" w:lineRule="auto"/>
              <w:rPr>
                <w:rFonts w:ascii="Calibri" w:eastAsia="Times New Roman" w:hAnsi="Calibri" w:cs="Times New Roman"/>
                <w:color w:val="000000"/>
                <w:lang w:eastAsia="en-GB"/>
              </w:rPr>
            </w:pPr>
            <w:r w:rsidRPr="008009E8">
              <w:rPr>
                <w:rFonts w:ascii="Calibri" w:eastAsia="Times New Roman" w:hAnsi="Calibri" w:cs="Times New Roman"/>
                <w:color w:val="000000"/>
                <w:lang w:eastAsia="en-GB"/>
              </w:rPr>
              <w:t>Expected increase in stock value</w:t>
            </w:r>
          </w:p>
        </w:tc>
      </w:tr>
    </w:tbl>
    <w:p w:rsidR="006B5B91" w:rsidRDefault="006B5B91">
      <w:pPr>
        <w:rPr>
          <w:rFonts w:ascii="Times New Roman" w:hAnsi="Times New Roman" w:cs="Times New Roman"/>
          <w:sz w:val="24"/>
          <w:szCs w:val="24"/>
        </w:rPr>
      </w:pPr>
    </w:p>
    <w:p w:rsidR="00132467" w:rsidRDefault="00132467">
      <w:pPr>
        <w:rPr>
          <w:rFonts w:ascii="Times New Roman" w:hAnsi="Times New Roman" w:cs="Times New Roman"/>
          <w:sz w:val="24"/>
          <w:szCs w:val="24"/>
        </w:rPr>
      </w:pPr>
    </w:p>
    <w:p w:rsidR="00132467" w:rsidRDefault="00132467" w:rsidP="00132467">
      <w:pPr>
        <w:rPr>
          <w:rFonts w:ascii="Times New Roman" w:hAnsi="Times New Roman" w:cs="Times New Roman"/>
          <w:b/>
          <w:sz w:val="24"/>
          <w:szCs w:val="24"/>
          <w:u w:val="single"/>
        </w:rPr>
      </w:pPr>
      <w:r w:rsidRPr="00132467">
        <w:rPr>
          <w:rFonts w:ascii="Times New Roman" w:hAnsi="Times New Roman" w:cs="Times New Roman"/>
          <w:b/>
          <w:sz w:val="24"/>
          <w:szCs w:val="24"/>
          <w:u w:val="single"/>
        </w:rPr>
        <w:t>Section 2</w:t>
      </w:r>
    </w:p>
    <w:p w:rsidR="00132467" w:rsidRDefault="00132467" w:rsidP="00132467">
      <w:pPr>
        <w:rPr>
          <w:rFonts w:ascii="Times New Roman" w:hAnsi="Times New Roman" w:cs="Times New Roman"/>
          <w:sz w:val="24"/>
          <w:szCs w:val="24"/>
        </w:rPr>
      </w:pPr>
      <w:r>
        <w:rPr>
          <w:rFonts w:ascii="Times New Roman" w:hAnsi="Times New Roman" w:cs="Times New Roman"/>
          <w:sz w:val="24"/>
          <w:szCs w:val="24"/>
        </w:rPr>
        <w:t>Week 2:</w:t>
      </w:r>
    </w:p>
    <w:p w:rsidR="00132467" w:rsidRDefault="00132467" w:rsidP="00132467">
      <w:pPr>
        <w:rPr>
          <w:rFonts w:ascii="Times New Roman" w:hAnsi="Times New Roman" w:cs="Times New Roman"/>
          <w:sz w:val="24"/>
          <w:szCs w:val="24"/>
        </w:rPr>
      </w:pPr>
      <w:r>
        <w:rPr>
          <w:rFonts w:ascii="Times New Roman" w:hAnsi="Times New Roman" w:cs="Times New Roman"/>
          <w:sz w:val="24"/>
          <w:szCs w:val="24"/>
        </w:rPr>
        <w:tab/>
        <w:t>Buy; 600*75.74 = 45444</w:t>
      </w:r>
    </w:p>
    <w:p w:rsidR="00132467" w:rsidRDefault="00132467" w:rsidP="00132467">
      <w:pPr>
        <w:rPr>
          <w:rFonts w:ascii="Times New Roman" w:hAnsi="Times New Roman" w:cs="Times New Roman"/>
          <w:sz w:val="24"/>
          <w:szCs w:val="24"/>
        </w:rPr>
      </w:pPr>
      <w:r>
        <w:rPr>
          <w:rFonts w:ascii="Times New Roman" w:hAnsi="Times New Roman" w:cs="Times New Roman"/>
          <w:sz w:val="24"/>
          <w:szCs w:val="24"/>
        </w:rPr>
        <w:tab/>
        <w:t>Sell; 600*77.14 = 46284</w:t>
      </w:r>
    </w:p>
    <w:p w:rsidR="00132467" w:rsidRDefault="00132467" w:rsidP="00132467">
      <w:pPr>
        <w:rPr>
          <w:rFonts w:ascii="Times New Roman" w:hAnsi="Times New Roman" w:cs="Times New Roman"/>
          <w:sz w:val="24"/>
          <w:szCs w:val="24"/>
        </w:rPr>
      </w:pPr>
      <w:r>
        <w:rPr>
          <w:rFonts w:ascii="Times New Roman" w:hAnsi="Times New Roman" w:cs="Times New Roman"/>
          <w:sz w:val="24"/>
          <w:szCs w:val="24"/>
        </w:rPr>
        <w:t xml:space="preserve">HPR = (46284/45444)-1 = </w:t>
      </w:r>
      <w:r w:rsidR="002B5669">
        <w:rPr>
          <w:rFonts w:ascii="Times New Roman" w:hAnsi="Times New Roman" w:cs="Times New Roman"/>
          <w:sz w:val="24"/>
          <w:szCs w:val="24"/>
        </w:rPr>
        <w:t>1.85%</w:t>
      </w:r>
    </w:p>
    <w:p w:rsidR="002B5669" w:rsidRDefault="002B5669" w:rsidP="00132467">
      <w:pPr>
        <w:rPr>
          <w:rFonts w:ascii="Times New Roman" w:hAnsi="Times New Roman" w:cs="Times New Roman"/>
          <w:sz w:val="24"/>
          <w:szCs w:val="24"/>
        </w:rPr>
      </w:pPr>
      <w:r>
        <w:rPr>
          <w:rFonts w:ascii="Times New Roman" w:hAnsi="Times New Roman" w:cs="Times New Roman"/>
          <w:sz w:val="24"/>
          <w:szCs w:val="24"/>
        </w:rPr>
        <w:t>Week 6:</w:t>
      </w:r>
    </w:p>
    <w:p w:rsidR="002B5669" w:rsidRDefault="002B5669" w:rsidP="00132467">
      <w:pPr>
        <w:rPr>
          <w:rFonts w:ascii="Times New Roman" w:hAnsi="Times New Roman" w:cs="Times New Roman"/>
          <w:sz w:val="24"/>
          <w:szCs w:val="24"/>
        </w:rPr>
      </w:pPr>
      <w:r>
        <w:rPr>
          <w:rFonts w:ascii="Times New Roman" w:hAnsi="Times New Roman" w:cs="Times New Roman"/>
          <w:sz w:val="24"/>
          <w:szCs w:val="24"/>
        </w:rPr>
        <w:t>Buy;     50000*1.1595 = 57975</w:t>
      </w:r>
    </w:p>
    <w:p w:rsidR="002B5669" w:rsidRDefault="002B5669" w:rsidP="00132467">
      <w:pPr>
        <w:rPr>
          <w:rFonts w:ascii="Times New Roman" w:hAnsi="Times New Roman" w:cs="Times New Roman"/>
          <w:sz w:val="24"/>
          <w:szCs w:val="24"/>
        </w:rPr>
      </w:pPr>
      <w:r>
        <w:rPr>
          <w:rFonts w:ascii="Times New Roman" w:hAnsi="Times New Roman" w:cs="Times New Roman"/>
          <w:sz w:val="24"/>
          <w:szCs w:val="24"/>
        </w:rPr>
        <w:tab/>
        <w:t>500*83 = 41500</w:t>
      </w:r>
    </w:p>
    <w:p w:rsidR="002B5669" w:rsidRDefault="002B5669" w:rsidP="00132467">
      <w:pPr>
        <w:rPr>
          <w:rFonts w:ascii="Times New Roman" w:hAnsi="Times New Roman" w:cs="Times New Roman"/>
          <w:sz w:val="24"/>
          <w:szCs w:val="24"/>
        </w:rPr>
      </w:pPr>
      <w:r>
        <w:rPr>
          <w:rFonts w:ascii="Times New Roman" w:hAnsi="Times New Roman" w:cs="Times New Roman"/>
          <w:sz w:val="24"/>
          <w:szCs w:val="24"/>
        </w:rPr>
        <w:tab/>
      </w:r>
      <w:r w:rsidR="009F78A8">
        <w:rPr>
          <w:rFonts w:ascii="Times New Roman" w:hAnsi="Times New Roman" w:cs="Times New Roman"/>
          <w:sz w:val="24"/>
          <w:szCs w:val="24"/>
        </w:rPr>
        <w:t>(</w:t>
      </w:r>
      <w:r>
        <w:rPr>
          <w:rFonts w:ascii="Times New Roman" w:hAnsi="Times New Roman" w:cs="Times New Roman"/>
          <w:sz w:val="24"/>
          <w:szCs w:val="24"/>
        </w:rPr>
        <w:t>200*104.81</w:t>
      </w:r>
      <w:r w:rsidR="009F78A8">
        <w:rPr>
          <w:rFonts w:ascii="Times New Roman" w:hAnsi="Times New Roman" w:cs="Times New Roman"/>
          <w:sz w:val="24"/>
          <w:szCs w:val="24"/>
        </w:rPr>
        <w:t>) + (200*0.8)</w:t>
      </w:r>
      <w:r>
        <w:rPr>
          <w:rFonts w:ascii="Times New Roman" w:hAnsi="Times New Roman" w:cs="Times New Roman"/>
          <w:sz w:val="24"/>
          <w:szCs w:val="24"/>
        </w:rPr>
        <w:t xml:space="preserve"> = </w:t>
      </w:r>
      <w:r w:rsidR="009F78A8">
        <w:rPr>
          <w:rFonts w:ascii="Times New Roman" w:hAnsi="Times New Roman" w:cs="Times New Roman"/>
          <w:sz w:val="24"/>
          <w:szCs w:val="24"/>
        </w:rPr>
        <w:t>21122</w:t>
      </w:r>
    </w:p>
    <w:p w:rsidR="002B5669" w:rsidRDefault="002B5669" w:rsidP="00132467">
      <w:pPr>
        <w:rPr>
          <w:rFonts w:ascii="Times New Roman" w:hAnsi="Times New Roman" w:cs="Times New Roman"/>
          <w:sz w:val="24"/>
          <w:szCs w:val="24"/>
        </w:rPr>
      </w:pPr>
      <w:r>
        <w:rPr>
          <w:rFonts w:ascii="Times New Roman" w:hAnsi="Times New Roman" w:cs="Times New Roman"/>
          <w:sz w:val="24"/>
          <w:szCs w:val="24"/>
        </w:rPr>
        <w:lastRenderedPageBreak/>
        <w:tab/>
        <w:t>(600*78.97) + (300*80.29) = 71469</w:t>
      </w:r>
    </w:p>
    <w:p w:rsidR="002B5669" w:rsidRDefault="002B5669" w:rsidP="00132467">
      <w:pPr>
        <w:rPr>
          <w:rFonts w:ascii="Times New Roman" w:hAnsi="Times New Roman" w:cs="Times New Roman"/>
          <w:sz w:val="24"/>
          <w:szCs w:val="24"/>
        </w:rPr>
      </w:pPr>
      <w:r>
        <w:rPr>
          <w:rFonts w:ascii="Times New Roman" w:hAnsi="Times New Roman" w:cs="Times New Roman"/>
          <w:sz w:val="24"/>
          <w:szCs w:val="24"/>
        </w:rPr>
        <w:tab/>
        <w:t>1000*47.85 = 47850</w:t>
      </w:r>
    </w:p>
    <w:p w:rsidR="002B5669" w:rsidRDefault="002B5669" w:rsidP="00132467">
      <w:pPr>
        <w:rPr>
          <w:rFonts w:ascii="Times New Roman" w:hAnsi="Times New Roman" w:cs="Times New Roman"/>
          <w:sz w:val="24"/>
          <w:szCs w:val="24"/>
        </w:rPr>
      </w:pPr>
      <w:r>
        <w:rPr>
          <w:rFonts w:ascii="Times New Roman" w:hAnsi="Times New Roman" w:cs="Times New Roman"/>
          <w:sz w:val="24"/>
          <w:szCs w:val="24"/>
        </w:rPr>
        <w:tab/>
        <w:t>350*33.84 = 11844</w:t>
      </w:r>
    </w:p>
    <w:p w:rsidR="002B5669" w:rsidRDefault="002B5669" w:rsidP="00132467">
      <w:pPr>
        <w:rPr>
          <w:rFonts w:ascii="Times New Roman" w:hAnsi="Times New Roman" w:cs="Times New Roman"/>
          <w:sz w:val="24"/>
          <w:szCs w:val="24"/>
        </w:rPr>
      </w:pPr>
      <w:r>
        <w:rPr>
          <w:rFonts w:ascii="Times New Roman" w:hAnsi="Times New Roman" w:cs="Times New Roman"/>
          <w:sz w:val="24"/>
          <w:szCs w:val="24"/>
        </w:rPr>
        <w:tab/>
        <w:t xml:space="preserve">(300*230.75) + (100*228.09) = </w:t>
      </w:r>
      <w:r w:rsidR="009F78A8">
        <w:rPr>
          <w:rFonts w:ascii="Times New Roman" w:hAnsi="Times New Roman" w:cs="Times New Roman"/>
          <w:sz w:val="24"/>
          <w:szCs w:val="24"/>
        </w:rPr>
        <w:t>92034</w:t>
      </w:r>
    </w:p>
    <w:p w:rsidR="002B5669" w:rsidRDefault="002B5669" w:rsidP="00132467">
      <w:pPr>
        <w:rPr>
          <w:rFonts w:ascii="Times New Roman" w:hAnsi="Times New Roman" w:cs="Times New Roman"/>
          <w:sz w:val="24"/>
          <w:szCs w:val="24"/>
        </w:rPr>
      </w:pPr>
      <w:r>
        <w:rPr>
          <w:rFonts w:ascii="Times New Roman" w:hAnsi="Times New Roman" w:cs="Times New Roman"/>
          <w:sz w:val="24"/>
          <w:szCs w:val="24"/>
        </w:rPr>
        <w:tab/>
        <w:t>100*57.65 = 5765</w:t>
      </w:r>
    </w:p>
    <w:p w:rsidR="002B5669" w:rsidRDefault="002B5669" w:rsidP="00132467">
      <w:pPr>
        <w:rPr>
          <w:rFonts w:ascii="Times New Roman" w:hAnsi="Times New Roman" w:cs="Times New Roman"/>
          <w:sz w:val="24"/>
          <w:szCs w:val="24"/>
        </w:rPr>
      </w:pPr>
      <w:r>
        <w:rPr>
          <w:rFonts w:ascii="Times New Roman" w:hAnsi="Times New Roman" w:cs="Times New Roman"/>
          <w:sz w:val="24"/>
          <w:szCs w:val="24"/>
        </w:rPr>
        <w:tab/>
        <w:t xml:space="preserve">300*53.13 = </w:t>
      </w:r>
      <w:r>
        <w:rPr>
          <w:rFonts w:ascii="Times New Roman" w:hAnsi="Times New Roman" w:cs="Times New Roman"/>
          <w:sz w:val="24"/>
          <w:szCs w:val="24"/>
        </w:rPr>
        <w:tab/>
      </w:r>
      <w:r w:rsidR="009F78A8">
        <w:rPr>
          <w:rFonts w:ascii="Times New Roman" w:hAnsi="Times New Roman" w:cs="Times New Roman"/>
          <w:sz w:val="24"/>
          <w:szCs w:val="24"/>
        </w:rPr>
        <w:t>15939</w:t>
      </w:r>
    </w:p>
    <w:p w:rsidR="002B5669" w:rsidRDefault="002B5669" w:rsidP="00132467">
      <w:pPr>
        <w:rPr>
          <w:rFonts w:ascii="Times New Roman" w:hAnsi="Times New Roman" w:cs="Times New Roman"/>
          <w:sz w:val="24"/>
          <w:szCs w:val="24"/>
        </w:rPr>
      </w:pPr>
      <w:r>
        <w:rPr>
          <w:rFonts w:ascii="Times New Roman" w:hAnsi="Times New Roman" w:cs="Times New Roman"/>
          <w:sz w:val="24"/>
          <w:szCs w:val="24"/>
        </w:rPr>
        <w:tab/>
      </w:r>
      <w:r w:rsidR="009F78A8">
        <w:rPr>
          <w:rFonts w:ascii="Times New Roman" w:hAnsi="Times New Roman" w:cs="Times New Roman"/>
          <w:sz w:val="24"/>
          <w:szCs w:val="24"/>
        </w:rPr>
        <w:t>(</w:t>
      </w:r>
      <w:r>
        <w:rPr>
          <w:rFonts w:ascii="Times New Roman" w:hAnsi="Times New Roman" w:cs="Times New Roman"/>
          <w:sz w:val="24"/>
          <w:szCs w:val="24"/>
        </w:rPr>
        <w:t>200*228.38</w:t>
      </w:r>
      <w:r w:rsidR="009F78A8">
        <w:rPr>
          <w:rFonts w:ascii="Times New Roman" w:hAnsi="Times New Roman" w:cs="Times New Roman"/>
          <w:sz w:val="24"/>
          <w:szCs w:val="24"/>
        </w:rPr>
        <w:t>) + (200*0.57)</w:t>
      </w:r>
      <w:r>
        <w:rPr>
          <w:rFonts w:ascii="Times New Roman" w:hAnsi="Times New Roman" w:cs="Times New Roman"/>
          <w:sz w:val="24"/>
          <w:szCs w:val="24"/>
        </w:rPr>
        <w:t xml:space="preserve"> = </w:t>
      </w:r>
      <w:r w:rsidR="009F78A8">
        <w:rPr>
          <w:rFonts w:ascii="Times New Roman" w:hAnsi="Times New Roman" w:cs="Times New Roman"/>
          <w:sz w:val="24"/>
          <w:szCs w:val="24"/>
        </w:rPr>
        <w:t>45790</w:t>
      </w:r>
    </w:p>
    <w:p w:rsidR="009F78A8" w:rsidRDefault="009F78A8" w:rsidP="00132467">
      <w:pPr>
        <w:rPr>
          <w:rFonts w:ascii="Times New Roman" w:hAnsi="Times New Roman" w:cs="Times New Roman"/>
          <w:b/>
          <w:sz w:val="24"/>
          <w:szCs w:val="24"/>
        </w:rPr>
      </w:pPr>
      <w:r w:rsidRPr="009F78A8">
        <w:rPr>
          <w:rFonts w:ascii="Times New Roman" w:hAnsi="Times New Roman" w:cs="Times New Roman"/>
          <w:b/>
          <w:sz w:val="24"/>
          <w:szCs w:val="24"/>
        </w:rPr>
        <w:t>Total = 411288</w:t>
      </w:r>
    </w:p>
    <w:p w:rsidR="009F78A8" w:rsidRDefault="009F78A8" w:rsidP="00132467">
      <w:pPr>
        <w:rPr>
          <w:rFonts w:ascii="Times New Roman" w:hAnsi="Times New Roman" w:cs="Times New Roman"/>
          <w:sz w:val="24"/>
          <w:szCs w:val="24"/>
        </w:rPr>
      </w:pPr>
      <w:r>
        <w:rPr>
          <w:rFonts w:ascii="Times New Roman" w:hAnsi="Times New Roman" w:cs="Times New Roman"/>
          <w:sz w:val="24"/>
          <w:szCs w:val="24"/>
        </w:rPr>
        <w:t xml:space="preserve">Sell; </w:t>
      </w:r>
      <w:r>
        <w:rPr>
          <w:rFonts w:ascii="Times New Roman" w:hAnsi="Times New Roman" w:cs="Times New Roman"/>
          <w:sz w:val="24"/>
          <w:szCs w:val="24"/>
        </w:rPr>
        <w:tab/>
        <w:t>50000*1.0615 = 53075</w:t>
      </w:r>
    </w:p>
    <w:p w:rsidR="009F78A8" w:rsidRDefault="009F78A8" w:rsidP="00132467">
      <w:pPr>
        <w:rPr>
          <w:rFonts w:ascii="Times New Roman" w:hAnsi="Times New Roman" w:cs="Times New Roman"/>
          <w:sz w:val="24"/>
          <w:szCs w:val="24"/>
        </w:rPr>
      </w:pPr>
      <w:r>
        <w:rPr>
          <w:rFonts w:ascii="Times New Roman" w:hAnsi="Times New Roman" w:cs="Times New Roman"/>
          <w:sz w:val="24"/>
          <w:szCs w:val="24"/>
        </w:rPr>
        <w:tab/>
        <w:t>200*77.41 = 15482</w:t>
      </w:r>
    </w:p>
    <w:p w:rsidR="009F78A8" w:rsidRDefault="009F78A8" w:rsidP="00132467">
      <w:pPr>
        <w:rPr>
          <w:rFonts w:ascii="Times New Roman" w:hAnsi="Times New Roman" w:cs="Times New Roman"/>
          <w:sz w:val="24"/>
          <w:szCs w:val="24"/>
        </w:rPr>
      </w:pPr>
      <w:r>
        <w:rPr>
          <w:rFonts w:ascii="Times New Roman" w:hAnsi="Times New Roman" w:cs="Times New Roman"/>
          <w:sz w:val="24"/>
          <w:szCs w:val="24"/>
        </w:rPr>
        <w:tab/>
        <w:t>900*82.58 = 74322</w:t>
      </w:r>
    </w:p>
    <w:p w:rsidR="009F78A8" w:rsidRDefault="009F78A8" w:rsidP="00132467">
      <w:pPr>
        <w:rPr>
          <w:rFonts w:ascii="Times New Roman" w:hAnsi="Times New Roman" w:cs="Times New Roman"/>
          <w:sz w:val="24"/>
          <w:szCs w:val="24"/>
        </w:rPr>
      </w:pPr>
      <w:r>
        <w:rPr>
          <w:rFonts w:ascii="Times New Roman" w:hAnsi="Times New Roman" w:cs="Times New Roman"/>
          <w:sz w:val="24"/>
          <w:szCs w:val="24"/>
        </w:rPr>
        <w:tab/>
        <w:t>1000*36.89 = 36890</w:t>
      </w:r>
    </w:p>
    <w:p w:rsidR="009F78A8" w:rsidRDefault="009F78A8" w:rsidP="00132467">
      <w:pPr>
        <w:rPr>
          <w:rFonts w:ascii="Times New Roman" w:hAnsi="Times New Roman" w:cs="Times New Roman"/>
          <w:sz w:val="24"/>
          <w:szCs w:val="24"/>
        </w:rPr>
      </w:pPr>
      <w:r>
        <w:rPr>
          <w:rFonts w:ascii="Times New Roman" w:hAnsi="Times New Roman" w:cs="Times New Roman"/>
          <w:sz w:val="24"/>
          <w:szCs w:val="24"/>
        </w:rPr>
        <w:tab/>
        <w:t>350*30.43 = 10650.5</w:t>
      </w:r>
    </w:p>
    <w:p w:rsidR="009F78A8" w:rsidRDefault="009F78A8" w:rsidP="00132467">
      <w:pPr>
        <w:rPr>
          <w:rFonts w:ascii="Times New Roman" w:hAnsi="Times New Roman" w:cs="Times New Roman"/>
          <w:sz w:val="24"/>
          <w:szCs w:val="24"/>
        </w:rPr>
      </w:pPr>
      <w:r>
        <w:rPr>
          <w:rFonts w:ascii="Times New Roman" w:hAnsi="Times New Roman" w:cs="Times New Roman"/>
          <w:sz w:val="24"/>
          <w:szCs w:val="24"/>
        </w:rPr>
        <w:tab/>
        <w:t>400*176.37=70548</w:t>
      </w:r>
    </w:p>
    <w:p w:rsidR="009F78A8" w:rsidRDefault="009F78A8" w:rsidP="00132467">
      <w:pPr>
        <w:rPr>
          <w:rFonts w:ascii="Times New Roman" w:hAnsi="Times New Roman" w:cs="Times New Roman"/>
          <w:sz w:val="24"/>
          <w:szCs w:val="24"/>
        </w:rPr>
      </w:pPr>
      <w:r>
        <w:rPr>
          <w:rFonts w:ascii="Times New Roman" w:hAnsi="Times New Roman" w:cs="Times New Roman"/>
          <w:sz w:val="24"/>
          <w:szCs w:val="24"/>
        </w:rPr>
        <w:tab/>
        <w:t>100*47.06 =4706</w:t>
      </w:r>
    </w:p>
    <w:p w:rsidR="009F78A8" w:rsidRDefault="009F78A8" w:rsidP="00132467">
      <w:pPr>
        <w:rPr>
          <w:rFonts w:ascii="Times New Roman" w:hAnsi="Times New Roman" w:cs="Times New Roman"/>
          <w:sz w:val="24"/>
          <w:szCs w:val="24"/>
        </w:rPr>
      </w:pPr>
      <w:r>
        <w:rPr>
          <w:rFonts w:ascii="Times New Roman" w:hAnsi="Times New Roman" w:cs="Times New Roman"/>
          <w:sz w:val="24"/>
          <w:szCs w:val="24"/>
        </w:rPr>
        <w:tab/>
        <w:t>300*32.75 = 9825</w:t>
      </w:r>
    </w:p>
    <w:p w:rsidR="009F78A8" w:rsidRDefault="009F78A8" w:rsidP="00132467">
      <w:pPr>
        <w:rPr>
          <w:rFonts w:ascii="Times New Roman" w:hAnsi="Times New Roman" w:cs="Times New Roman"/>
          <w:sz w:val="24"/>
          <w:szCs w:val="24"/>
        </w:rPr>
      </w:pPr>
      <w:r>
        <w:rPr>
          <w:rFonts w:ascii="Times New Roman" w:hAnsi="Times New Roman" w:cs="Times New Roman"/>
          <w:sz w:val="24"/>
          <w:szCs w:val="24"/>
        </w:rPr>
        <w:tab/>
        <w:t>200*222.58 = 44516</w:t>
      </w:r>
    </w:p>
    <w:p w:rsidR="009F78A8" w:rsidRPr="009F78A8" w:rsidRDefault="009F78A8" w:rsidP="00132467">
      <w:pPr>
        <w:rPr>
          <w:rFonts w:ascii="Times New Roman" w:hAnsi="Times New Roman" w:cs="Times New Roman"/>
          <w:b/>
          <w:sz w:val="24"/>
          <w:szCs w:val="24"/>
        </w:rPr>
      </w:pPr>
      <w:r w:rsidRPr="009F78A8">
        <w:rPr>
          <w:rFonts w:ascii="Times New Roman" w:hAnsi="Times New Roman" w:cs="Times New Roman"/>
          <w:b/>
          <w:sz w:val="24"/>
          <w:szCs w:val="24"/>
        </w:rPr>
        <w:t>Total = 320014.5</w:t>
      </w:r>
    </w:p>
    <w:p w:rsidR="009F78A8" w:rsidRDefault="009F78A8" w:rsidP="00132467">
      <w:pPr>
        <w:rPr>
          <w:rFonts w:ascii="Times New Roman" w:hAnsi="Times New Roman" w:cs="Times New Roman"/>
          <w:sz w:val="24"/>
          <w:szCs w:val="24"/>
        </w:rPr>
      </w:pPr>
      <w:r>
        <w:rPr>
          <w:rFonts w:ascii="Times New Roman" w:hAnsi="Times New Roman" w:cs="Times New Roman"/>
          <w:sz w:val="24"/>
          <w:szCs w:val="24"/>
        </w:rPr>
        <w:t>HPR = (</w:t>
      </w:r>
      <w:r w:rsidR="00F15CB6">
        <w:rPr>
          <w:rFonts w:ascii="Times New Roman" w:hAnsi="Times New Roman" w:cs="Times New Roman"/>
          <w:sz w:val="24"/>
          <w:szCs w:val="24"/>
        </w:rPr>
        <w:t>320014.5/</w:t>
      </w:r>
      <w:r>
        <w:rPr>
          <w:rFonts w:ascii="Times New Roman" w:hAnsi="Times New Roman" w:cs="Times New Roman"/>
          <w:sz w:val="24"/>
          <w:szCs w:val="24"/>
        </w:rPr>
        <w:t xml:space="preserve">411288)-1 = </w:t>
      </w:r>
      <w:r w:rsidR="00F15CB6">
        <w:rPr>
          <w:rFonts w:ascii="Times New Roman" w:hAnsi="Times New Roman" w:cs="Times New Roman"/>
          <w:sz w:val="24"/>
          <w:szCs w:val="24"/>
        </w:rPr>
        <w:t>-22.19%</w:t>
      </w:r>
    </w:p>
    <w:tbl>
      <w:tblPr>
        <w:tblW w:w="5157" w:type="dxa"/>
        <w:tblInd w:w="95" w:type="dxa"/>
        <w:tblLook w:val="04A0" w:firstRow="1" w:lastRow="0" w:firstColumn="1" w:lastColumn="0" w:noHBand="0" w:noVBand="1"/>
      </w:tblPr>
      <w:tblGrid>
        <w:gridCol w:w="1558"/>
        <w:gridCol w:w="1029"/>
        <w:gridCol w:w="2570"/>
      </w:tblGrid>
      <w:tr w:rsidR="00F15CB6" w:rsidRPr="00F15CB6" w:rsidTr="00F15CB6">
        <w:trPr>
          <w:trHeight w:val="419"/>
        </w:trPr>
        <w:tc>
          <w:tcPr>
            <w:tcW w:w="1558"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rPr>
                <w:rFonts w:ascii="Calibri" w:eastAsia="Times New Roman" w:hAnsi="Calibri" w:cs="Times New Roman"/>
                <w:color w:val="000000"/>
                <w:lang w:eastAsia="en-GB"/>
              </w:rPr>
            </w:pPr>
            <w:r w:rsidRPr="00F15CB6">
              <w:rPr>
                <w:rFonts w:ascii="Calibri" w:eastAsia="Times New Roman" w:hAnsi="Calibri" w:cs="Times New Roman"/>
                <w:color w:val="000000"/>
                <w:lang w:eastAsia="en-GB"/>
              </w:rPr>
              <w:t>Week</w:t>
            </w:r>
          </w:p>
        </w:tc>
        <w:tc>
          <w:tcPr>
            <w:tcW w:w="1029"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rPr>
                <w:rFonts w:ascii="Calibri" w:eastAsia="Times New Roman" w:hAnsi="Calibri" w:cs="Times New Roman"/>
                <w:color w:val="000000"/>
                <w:lang w:eastAsia="en-GB"/>
              </w:rPr>
            </w:pPr>
            <w:r w:rsidRPr="00F15CB6">
              <w:rPr>
                <w:rFonts w:ascii="Calibri" w:eastAsia="Times New Roman" w:hAnsi="Calibri" w:cs="Times New Roman"/>
                <w:color w:val="000000"/>
                <w:lang w:eastAsia="en-GB"/>
              </w:rPr>
              <w:t>HPR</w:t>
            </w:r>
          </w:p>
        </w:tc>
        <w:tc>
          <w:tcPr>
            <w:tcW w:w="2570"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rPr>
                <w:rFonts w:ascii="Calibri" w:eastAsia="Times New Roman" w:hAnsi="Calibri" w:cs="Times New Roman"/>
                <w:color w:val="000000"/>
                <w:lang w:eastAsia="en-GB"/>
              </w:rPr>
            </w:pPr>
            <w:r w:rsidRPr="00F15CB6">
              <w:rPr>
                <w:rFonts w:ascii="Calibri" w:eastAsia="Times New Roman" w:hAnsi="Calibri" w:cs="Times New Roman"/>
                <w:color w:val="000000"/>
                <w:lang w:eastAsia="en-GB"/>
              </w:rPr>
              <w:t>Squared differences</w:t>
            </w:r>
          </w:p>
        </w:tc>
      </w:tr>
      <w:tr w:rsidR="00F15CB6" w:rsidRPr="00F15CB6" w:rsidTr="00F15CB6">
        <w:trPr>
          <w:trHeight w:val="419"/>
        </w:trPr>
        <w:tc>
          <w:tcPr>
            <w:tcW w:w="1558"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jc w:val="right"/>
              <w:rPr>
                <w:rFonts w:ascii="Calibri" w:eastAsia="Times New Roman" w:hAnsi="Calibri" w:cs="Times New Roman"/>
                <w:color w:val="000000"/>
                <w:lang w:eastAsia="en-GB"/>
              </w:rPr>
            </w:pPr>
            <w:r w:rsidRPr="00F15CB6">
              <w:rPr>
                <w:rFonts w:ascii="Calibri" w:eastAsia="Times New Roman" w:hAnsi="Calibri" w:cs="Times New Roman"/>
                <w:color w:val="000000"/>
                <w:lang w:eastAsia="en-GB"/>
              </w:rPr>
              <w:t>2</w:t>
            </w:r>
          </w:p>
        </w:tc>
        <w:tc>
          <w:tcPr>
            <w:tcW w:w="1029"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jc w:val="right"/>
              <w:rPr>
                <w:rFonts w:ascii="Calibri" w:eastAsia="Times New Roman" w:hAnsi="Calibri" w:cs="Times New Roman"/>
                <w:color w:val="000000"/>
                <w:lang w:eastAsia="en-GB"/>
              </w:rPr>
            </w:pPr>
            <w:r w:rsidRPr="00F15CB6">
              <w:rPr>
                <w:rFonts w:ascii="Calibri" w:eastAsia="Times New Roman" w:hAnsi="Calibri" w:cs="Times New Roman"/>
                <w:color w:val="000000"/>
                <w:lang w:eastAsia="en-GB"/>
              </w:rPr>
              <w:t>1.85%</w:t>
            </w:r>
          </w:p>
        </w:tc>
        <w:tc>
          <w:tcPr>
            <w:tcW w:w="2570"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jc w:val="right"/>
              <w:rPr>
                <w:rFonts w:ascii="Calibri" w:eastAsia="Times New Roman" w:hAnsi="Calibri" w:cs="Times New Roman"/>
                <w:color w:val="000000"/>
                <w:lang w:eastAsia="en-GB"/>
              </w:rPr>
            </w:pPr>
            <w:r w:rsidRPr="00F15CB6">
              <w:rPr>
                <w:rFonts w:ascii="Calibri" w:eastAsia="Times New Roman" w:hAnsi="Calibri" w:cs="Times New Roman"/>
                <w:color w:val="000000"/>
                <w:lang w:eastAsia="en-GB"/>
              </w:rPr>
              <w:t>0.01444804</w:t>
            </w:r>
          </w:p>
        </w:tc>
      </w:tr>
      <w:tr w:rsidR="00F15CB6" w:rsidRPr="00F15CB6" w:rsidTr="00F15CB6">
        <w:trPr>
          <w:trHeight w:val="419"/>
        </w:trPr>
        <w:tc>
          <w:tcPr>
            <w:tcW w:w="1558"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jc w:val="right"/>
              <w:rPr>
                <w:rFonts w:ascii="Calibri" w:eastAsia="Times New Roman" w:hAnsi="Calibri" w:cs="Times New Roman"/>
                <w:color w:val="000000"/>
                <w:lang w:eastAsia="en-GB"/>
              </w:rPr>
            </w:pPr>
            <w:r w:rsidRPr="00F15CB6">
              <w:rPr>
                <w:rFonts w:ascii="Calibri" w:eastAsia="Times New Roman" w:hAnsi="Calibri" w:cs="Times New Roman"/>
                <w:color w:val="000000"/>
                <w:lang w:eastAsia="en-GB"/>
              </w:rPr>
              <w:t>6</w:t>
            </w:r>
          </w:p>
        </w:tc>
        <w:tc>
          <w:tcPr>
            <w:tcW w:w="1029"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jc w:val="right"/>
              <w:rPr>
                <w:rFonts w:ascii="Calibri" w:eastAsia="Times New Roman" w:hAnsi="Calibri" w:cs="Times New Roman"/>
                <w:color w:val="000000"/>
                <w:lang w:eastAsia="en-GB"/>
              </w:rPr>
            </w:pPr>
            <w:r w:rsidRPr="00F15CB6">
              <w:rPr>
                <w:rFonts w:ascii="Calibri" w:eastAsia="Times New Roman" w:hAnsi="Calibri" w:cs="Times New Roman"/>
                <w:color w:val="000000"/>
                <w:lang w:eastAsia="en-GB"/>
              </w:rPr>
              <w:t>-22.19%</w:t>
            </w:r>
          </w:p>
        </w:tc>
        <w:tc>
          <w:tcPr>
            <w:tcW w:w="2570"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jc w:val="right"/>
              <w:rPr>
                <w:rFonts w:ascii="Calibri" w:eastAsia="Times New Roman" w:hAnsi="Calibri" w:cs="Times New Roman"/>
                <w:color w:val="000000"/>
                <w:lang w:eastAsia="en-GB"/>
              </w:rPr>
            </w:pPr>
            <w:r w:rsidRPr="00F15CB6">
              <w:rPr>
                <w:rFonts w:ascii="Calibri" w:eastAsia="Times New Roman" w:hAnsi="Calibri" w:cs="Times New Roman"/>
                <w:color w:val="000000"/>
                <w:lang w:eastAsia="en-GB"/>
              </w:rPr>
              <w:t>0.01444804</w:t>
            </w:r>
          </w:p>
        </w:tc>
      </w:tr>
      <w:tr w:rsidR="00F15CB6" w:rsidRPr="00F15CB6" w:rsidTr="00F15CB6">
        <w:trPr>
          <w:trHeight w:val="419"/>
        </w:trPr>
        <w:tc>
          <w:tcPr>
            <w:tcW w:w="1558"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rPr>
                <w:rFonts w:ascii="Calibri" w:eastAsia="Times New Roman" w:hAnsi="Calibri" w:cs="Times New Roman"/>
                <w:color w:val="000000"/>
                <w:lang w:eastAsia="en-GB"/>
              </w:rPr>
            </w:pPr>
          </w:p>
        </w:tc>
        <w:tc>
          <w:tcPr>
            <w:tcW w:w="1029"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rPr>
                <w:rFonts w:ascii="Calibri" w:eastAsia="Times New Roman" w:hAnsi="Calibri" w:cs="Times New Roman"/>
                <w:color w:val="000000"/>
                <w:lang w:eastAsia="en-GB"/>
              </w:rPr>
            </w:pPr>
          </w:p>
        </w:tc>
        <w:tc>
          <w:tcPr>
            <w:tcW w:w="2570"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rPr>
                <w:rFonts w:ascii="Calibri" w:eastAsia="Times New Roman" w:hAnsi="Calibri" w:cs="Times New Roman"/>
                <w:color w:val="000000"/>
                <w:lang w:eastAsia="en-GB"/>
              </w:rPr>
            </w:pPr>
          </w:p>
        </w:tc>
      </w:tr>
      <w:tr w:rsidR="00F15CB6" w:rsidRPr="00F15CB6" w:rsidTr="00F15CB6">
        <w:trPr>
          <w:trHeight w:val="419"/>
        </w:trPr>
        <w:tc>
          <w:tcPr>
            <w:tcW w:w="1558" w:type="dxa"/>
            <w:tcBorders>
              <w:top w:val="nil"/>
              <w:left w:val="nil"/>
              <w:bottom w:val="nil"/>
              <w:right w:val="nil"/>
            </w:tcBorders>
            <w:shd w:val="clear" w:color="auto" w:fill="auto"/>
            <w:noWrap/>
            <w:vAlign w:val="bottom"/>
            <w:hideMark/>
          </w:tcPr>
          <w:p w:rsidR="00F15CB6" w:rsidRDefault="00F15CB6" w:rsidP="00F15CB6">
            <w:pPr>
              <w:spacing w:after="0" w:line="240" w:lineRule="auto"/>
              <w:rPr>
                <w:rFonts w:ascii="Calibri" w:eastAsia="Times New Roman" w:hAnsi="Calibri" w:cs="Times New Roman"/>
                <w:color w:val="000000"/>
                <w:lang w:eastAsia="en-GB"/>
              </w:rPr>
            </w:pPr>
            <w:r w:rsidRPr="00F15CB6">
              <w:rPr>
                <w:rFonts w:ascii="Calibri" w:eastAsia="Times New Roman" w:hAnsi="Calibri" w:cs="Times New Roman"/>
                <w:color w:val="000000"/>
                <w:lang w:eastAsia="en-GB"/>
              </w:rPr>
              <w:t>Expected</w:t>
            </w:r>
          </w:p>
          <w:p w:rsidR="00F15CB6" w:rsidRPr="00F15CB6" w:rsidRDefault="00F15CB6" w:rsidP="00F15CB6">
            <w:pPr>
              <w:spacing w:after="0" w:line="240" w:lineRule="auto"/>
              <w:rPr>
                <w:rFonts w:ascii="Calibri" w:eastAsia="Times New Roman" w:hAnsi="Calibri" w:cs="Times New Roman"/>
                <w:color w:val="000000"/>
                <w:lang w:eastAsia="en-GB"/>
              </w:rPr>
            </w:pPr>
            <w:r w:rsidRPr="00F15CB6">
              <w:rPr>
                <w:rFonts w:ascii="Calibri" w:eastAsia="Times New Roman" w:hAnsi="Calibri" w:cs="Times New Roman"/>
                <w:color w:val="000000"/>
                <w:lang w:eastAsia="en-GB"/>
              </w:rPr>
              <w:t xml:space="preserve"> return</w:t>
            </w:r>
          </w:p>
        </w:tc>
        <w:tc>
          <w:tcPr>
            <w:tcW w:w="1029"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jc w:val="right"/>
              <w:rPr>
                <w:rFonts w:ascii="Calibri" w:eastAsia="Times New Roman" w:hAnsi="Calibri" w:cs="Times New Roman"/>
                <w:color w:val="000000"/>
                <w:lang w:eastAsia="en-GB"/>
              </w:rPr>
            </w:pPr>
            <w:r w:rsidRPr="00F15CB6">
              <w:rPr>
                <w:rFonts w:ascii="Calibri" w:eastAsia="Times New Roman" w:hAnsi="Calibri" w:cs="Times New Roman"/>
                <w:color w:val="000000"/>
                <w:lang w:eastAsia="en-GB"/>
              </w:rPr>
              <w:t>-10.17%</w:t>
            </w:r>
          </w:p>
        </w:tc>
        <w:tc>
          <w:tcPr>
            <w:tcW w:w="2570"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rPr>
                <w:rFonts w:ascii="Calibri" w:eastAsia="Times New Roman" w:hAnsi="Calibri" w:cs="Times New Roman"/>
                <w:color w:val="000000"/>
                <w:lang w:eastAsia="en-GB"/>
              </w:rPr>
            </w:pPr>
          </w:p>
        </w:tc>
      </w:tr>
      <w:tr w:rsidR="00F15CB6" w:rsidRPr="00F15CB6" w:rsidTr="00F15CB6">
        <w:trPr>
          <w:trHeight w:val="419"/>
        </w:trPr>
        <w:tc>
          <w:tcPr>
            <w:tcW w:w="1558"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rPr>
                <w:rFonts w:ascii="Calibri" w:eastAsia="Times New Roman" w:hAnsi="Calibri" w:cs="Times New Roman"/>
                <w:color w:val="000000"/>
                <w:lang w:eastAsia="en-GB"/>
              </w:rPr>
            </w:pPr>
          </w:p>
        </w:tc>
        <w:tc>
          <w:tcPr>
            <w:tcW w:w="1029"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rPr>
                <w:rFonts w:ascii="Calibri" w:eastAsia="Times New Roman" w:hAnsi="Calibri" w:cs="Times New Roman"/>
                <w:color w:val="000000"/>
                <w:lang w:eastAsia="en-GB"/>
              </w:rPr>
            </w:pPr>
          </w:p>
        </w:tc>
        <w:tc>
          <w:tcPr>
            <w:tcW w:w="2570"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rPr>
                <w:rFonts w:ascii="Calibri" w:eastAsia="Times New Roman" w:hAnsi="Calibri" w:cs="Times New Roman"/>
                <w:color w:val="000000"/>
                <w:lang w:eastAsia="en-GB"/>
              </w:rPr>
            </w:pPr>
          </w:p>
        </w:tc>
      </w:tr>
      <w:tr w:rsidR="00F15CB6" w:rsidRPr="00F15CB6" w:rsidTr="00F15CB6">
        <w:trPr>
          <w:trHeight w:val="419"/>
        </w:trPr>
        <w:tc>
          <w:tcPr>
            <w:tcW w:w="1558"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rPr>
                <w:rFonts w:ascii="Calibri" w:eastAsia="Times New Roman" w:hAnsi="Calibri" w:cs="Times New Roman"/>
                <w:b/>
                <w:color w:val="000000"/>
                <w:lang w:eastAsia="en-GB"/>
              </w:rPr>
            </w:pPr>
            <w:r w:rsidRPr="00F15CB6">
              <w:rPr>
                <w:rFonts w:ascii="Calibri" w:eastAsia="Times New Roman" w:hAnsi="Calibri" w:cs="Times New Roman"/>
                <w:b/>
                <w:color w:val="000000"/>
                <w:lang w:eastAsia="en-GB"/>
              </w:rPr>
              <w:t xml:space="preserve">Standard </w:t>
            </w:r>
          </w:p>
          <w:p w:rsidR="00F15CB6" w:rsidRPr="00F15CB6" w:rsidRDefault="00F15CB6" w:rsidP="00F15CB6">
            <w:pPr>
              <w:spacing w:after="0" w:line="240" w:lineRule="auto"/>
              <w:rPr>
                <w:rFonts w:ascii="Calibri" w:eastAsia="Times New Roman" w:hAnsi="Calibri" w:cs="Times New Roman"/>
                <w:b/>
                <w:color w:val="000000"/>
                <w:lang w:eastAsia="en-GB"/>
              </w:rPr>
            </w:pPr>
            <w:r w:rsidRPr="00F15CB6">
              <w:rPr>
                <w:rFonts w:ascii="Calibri" w:eastAsia="Times New Roman" w:hAnsi="Calibri" w:cs="Times New Roman"/>
                <w:b/>
                <w:color w:val="000000"/>
                <w:lang w:eastAsia="en-GB"/>
              </w:rPr>
              <w:t>deviation</w:t>
            </w:r>
          </w:p>
        </w:tc>
        <w:tc>
          <w:tcPr>
            <w:tcW w:w="1029"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jc w:val="right"/>
              <w:rPr>
                <w:rFonts w:ascii="Calibri" w:eastAsia="Times New Roman" w:hAnsi="Calibri" w:cs="Times New Roman"/>
                <w:b/>
                <w:color w:val="000000"/>
                <w:lang w:eastAsia="en-GB"/>
              </w:rPr>
            </w:pPr>
            <w:r w:rsidRPr="00F15CB6">
              <w:rPr>
                <w:rFonts w:ascii="Calibri" w:eastAsia="Times New Roman" w:hAnsi="Calibri" w:cs="Times New Roman"/>
                <w:b/>
                <w:color w:val="000000"/>
                <w:lang w:eastAsia="en-GB"/>
              </w:rPr>
              <w:t>12.02%</w:t>
            </w:r>
          </w:p>
        </w:tc>
        <w:tc>
          <w:tcPr>
            <w:tcW w:w="2570" w:type="dxa"/>
            <w:tcBorders>
              <w:top w:val="nil"/>
              <w:left w:val="nil"/>
              <w:bottom w:val="nil"/>
              <w:right w:val="nil"/>
            </w:tcBorders>
            <w:shd w:val="clear" w:color="auto" w:fill="auto"/>
            <w:noWrap/>
            <w:vAlign w:val="bottom"/>
            <w:hideMark/>
          </w:tcPr>
          <w:p w:rsidR="00F15CB6" w:rsidRPr="00F15CB6" w:rsidRDefault="00F15CB6" w:rsidP="00F15CB6">
            <w:pPr>
              <w:spacing w:after="0" w:line="240" w:lineRule="auto"/>
              <w:rPr>
                <w:rFonts w:ascii="Calibri" w:eastAsia="Times New Roman" w:hAnsi="Calibri" w:cs="Times New Roman"/>
                <w:b/>
                <w:color w:val="000000"/>
                <w:lang w:eastAsia="en-GB"/>
              </w:rPr>
            </w:pPr>
          </w:p>
        </w:tc>
      </w:tr>
    </w:tbl>
    <w:p w:rsidR="00F15CB6" w:rsidRDefault="00F15CB6" w:rsidP="00132467">
      <w:pPr>
        <w:rPr>
          <w:rFonts w:ascii="Times New Roman" w:hAnsi="Times New Roman" w:cs="Times New Roman"/>
          <w:sz w:val="24"/>
          <w:szCs w:val="24"/>
        </w:rPr>
      </w:pPr>
    </w:p>
    <w:p w:rsidR="00F15CB6" w:rsidRPr="00751750" w:rsidRDefault="00751750" w:rsidP="00132467">
      <w:pPr>
        <w:rPr>
          <w:rFonts w:ascii="Times New Roman" w:hAnsi="Times New Roman" w:cs="Times New Roman"/>
          <w:sz w:val="24"/>
          <w:szCs w:val="24"/>
          <w:u w:val="single"/>
        </w:rPr>
      </w:pPr>
      <w:r w:rsidRPr="00751750">
        <w:rPr>
          <w:rFonts w:ascii="Times New Roman" w:hAnsi="Times New Roman" w:cs="Times New Roman"/>
          <w:sz w:val="24"/>
          <w:szCs w:val="24"/>
          <w:u w:val="single"/>
        </w:rPr>
        <w:t>Beta comparison</w:t>
      </w:r>
    </w:p>
    <w:p w:rsidR="00F15CB6" w:rsidRDefault="00751750" w:rsidP="00132467">
      <w:pPr>
        <w:rPr>
          <w:rFonts w:ascii="Times New Roman" w:hAnsi="Times New Roman" w:cs="Times New Roman"/>
          <w:sz w:val="24"/>
          <w:szCs w:val="24"/>
        </w:rPr>
      </w:pPr>
      <w:r>
        <w:rPr>
          <w:rFonts w:ascii="Times New Roman" w:hAnsi="Times New Roman" w:cs="Times New Roman"/>
          <w:sz w:val="24"/>
          <w:szCs w:val="24"/>
        </w:rPr>
        <w:lastRenderedPageBreak/>
        <w:t>On Sept 1</w:t>
      </w:r>
      <w:r w:rsidRPr="00751750">
        <w:rPr>
          <w:rFonts w:ascii="Times New Roman" w:hAnsi="Times New Roman" w:cs="Times New Roman"/>
          <w:sz w:val="24"/>
          <w:szCs w:val="24"/>
          <w:vertAlign w:val="superscript"/>
        </w:rPr>
        <w:t>st</w:t>
      </w:r>
      <w:r>
        <w:rPr>
          <w:rFonts w:ascii="Times New Roman" w:hAnsi="Times New Roman" w:cs="Times New Roman"/>
          <w:sz w:val="24"/>
          <w:szCs w:val="24"/>
        </w:rPr>
        <w:t xml:space="preserve">, the portfolio beta was 0 based on the fact that there were no stocks in the portfolio. </w:t>
      </w:r>
    </w:p>
    <w:p w:rsidR="00751750" w:rsidRDefault="00751750" w:rsidP="00132467">
      <w:pPr>
        <w:rPr>
          <w:rFonts w:ascii="Times New Roman" w:hAnsi="Times New Roman" w:cs="Times New Roman"/>
          <w:sz w:val="24"/>
          <w:szCs w:val="24"/>
        </w:rPr>
      </w:pPr>
      <w:r>
        <w:rPr>
          <w:rFonts w:ascii="Times New Roman" w:hAnsi="Times New Roman" w:cs="Times New Roman"/>
          <w:sz w:val="24"/>
          <w:szCs w:val="24"/>
        </w:rPr>
        <w:t>Dec 5</w:t>
      </w:r>
      <w:r w:rsidRPr="00751750">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p w:rsidR="00751750" w:rsidRDefault="00751750" w:rsidP="00132467">
      <w:pPr>
        <w:rPr>
          <w:rFonts w:ascii="Times New Roman" w:hAnsi="Times New Roman" w:cs="Times New Roman"/>
          <w:sz w:val="24"/>
          <w:szCs w:val="24"/>
        </w:rPr>
      </w:pPr>
      <w:r>
        <w:rPr>
          <w:rFonts w:ascii="Times New Roman" w:hAnsi="Times New Roman" w:cs="Times New Roman"/>
          <w:sz w:val="24"/>
          <w:szCs w:val="24"/>
        </w:rPr>
        <w:tab/>
        <w:t>Portfolio return -5.14%</w:t>
      </w:r>
    </w:p>
    <w:p w:rsidR="00751750" w:rsidRDefault="00751750" w:rsidP="00132467">
      <w:pPr>
        <w:rPr>
          <w:rFonts w:ascii="Times New Roman" w:hAnsi="Times New Roman" w:cs="Times New Roman"/>
          <w:sz w:val="24"/>
          <w:szCs w:val="24"/>
        </w:rPr>
      </w:pPr>
      <w:r>
        <w:rPr>
          <w:rFonts w:ascii="Times New Roman" w:hAnsi="Times New Roman" w:cs="Times New Roman"/>
          <w:sz w:val="24"/>
          <w:szCs w:val="24"/>
        </w:rPr>
        <w:tab/>
        <w:t>Risk free rate; 2.53%</w:t>
      </w:r>
    </w:p>
    <w:p w:rsidR="00751750" w:rsidRDefault="00751750" w:rsidP="00132467">
      <w:pPr>
        <w:rPr>
          <w:rFonts w:ascii="Times New Roman" w:hAnsi="Times New Roman" w:cs="Times New Roman"/>
          <w:sz w:val="24"/>
          <w:szCs w:val="24"/>
        </w:rPr>
      </w:pPr>
      <w:r>
        <w:rPr>
          <w:rFonts w:ascii="Times New Roman" w:hAnsi="Times New Roman" w:cs="Times New Roman"/>
          <w:sz w:val="24"/>
          <w:szCs w:val="24"/>
        </w:rPr>
        <w:tab/>
        <w:t>Market return (S&amp;P500) = 0.2%</w:t>
      </w:r>
    </w:p>
    <w:p w:rsidR="00751750" w:rsidRDefault="00751750" w:rsidP="00132467">
      <w:pPr>
        <w:rPr>
          <w:rFonts w:ascii="Times New Roman" w:hAnsi="Times New Roman" w:cs="Times New Roman"/>
          <w:sz w:val="24"/>
          <w:szCs w:val="24"/>
        </w:rPr>
      </w:pPr>
      <w:r>
        <w:rPr>
          <w:rFonts w:ascii="Times New Roman" w:hAnsi="Times New Roman" w:cs="Times New Roman"/>
          <w:sz w:val="24"/>
          <w:szCs w:val="24"/>
        </w:rPr>
        <w:t>Beta = (-5.14-2.53) / (0.2-2.53) = 3.29</w:t>
      </w:r>
    </w:p>
    <w:p w:rsidR="00751750" w:rsidRDefault="00751750" w:rsidP="00132467">
      <w:pPr>
        <w:rPr>
          <w:rFonts w:ascii="Times New Roman" w:hAnsi="Times New Roman" w:cs="Times New Roman"/>
          <w:sz w:val="24"/>
          <w:szCs w:val="24"/>
        </w:rPr>
      </w:pPr>
      <w:r>
        <w:rPr>
          <w:rFonts w:ascii="Times New Roman" w:hAnsi="Times New Roman" w:cs="Times New Roman"/>
          <w:sz w:val="24"/>
          <w:szCs w:val="24"/>
        </w:rPr>
        <w:t>Comparison: The portfolio is now more risky based on the beta factor of 3.29.</w:t>
      </w:r>
    </w:p>
    <w:p w:rsidR="00751750" w:rsidRDefault="00751750" w:rsidP="00132467">
      <w:pPr>
        <w:rPr>
          <w:rFonts w:ascii="Times New Roman" w:hAnsi="Times New Roman" w:cs="Times New Roman"/>
          <w:sz w:val="24"/>
          <w:szCs w:val="24"/>
        </w:rPr>
      </w:pPr>
    </w:p>
    <w:p w:rsidR="00751750" w:rsidRDefault="00751750" w:rsidP="00132467">
      <w:pPr>
        <w:rPr>
          <w:rFonts w:ascii="Times New Roman" w:hAnsi="Times New Roman" w:cs="Times New Roman"/>
          <w:b/>
          <w:i/>
          <w:sz w:val="24"/>
          <w:szCs w:val="24"/>
          <w:u w:val="single"/>
        </w:rPr>
      </w:pPr>
      <w:r w:rsidRPr="00751750">
        <w:rPr>
          <w:rFonts w:ascii="Times New Roman" w:hAnsi="Times New Roman" w:cs="Times New Roman"/>
          <w:b/>
          <w:i/>
          <w:sz w:val="24"/>
          <w:szCs w:val="24"/>
          <w:u w:val="single"/>
        </w:rPr>
        <w:t>Conclusions:</w:t>
      </w:r>
    </w:p>
    <w:p w:rsidR="00751750" w:rsidRDefault="00751750" w:rsidP="00132467">
      <w:pPr>
        <w:rPr>
          <w:rFonts w:ascii="Times New Roman" w:hAnsi="Times New Roman" w:cs="Times New Roman"/>
          <w:sz w:val="24"/>
          <w:szCs w:val="24"/>
        </w:rPr>
      </w:pPr>
      <w:r>
        <w:rPr>
          <w:rFonts w:ascii="Times New Roman" w:hAnsi="Times New Roman" w:cs="Times New Roman"/>
          <w:sz w:val="24"/>
          <w:szCs w:val="24"/>
        </w:rPr>
        <w:t>At the beginning of the investment period, the strategy was to allocate part of the funds into blue chip stocks such as Apple Inc. The second layer of the strategy was to diversify the portfolio into the various sectors i.e. energy, banking, retail, technology etc. The third layer of the investment strategy was to identify undervalued stocks and hold those stocks with the expectation that the values would improve significantly and thus gain from the same.</w:t>
      </w:r>
    </w:p>
    <w:p w:rsidR="00751750" w:rsidRDefault="00751750" w:rsidP="00132467">
      <w:pPr>
        <w:rPr>
          <w:rFonts w:ascii="Times New Roman" w:hAnsi="Times New Roman" w:cs="Times New Roman"/>
          <w:sz w:val="24"/>
          <w:szCs w:val="24"/>
        </w:rPr>
      </w:pPr>
      <w:r>
        <w:rPr>
          <w:rFonts w:ascii="Times New Roman" w:hAnsi="Times New Roman" w:cs="Times New Roman"/>
          <w:sz w:val="24"/>
          <w:szCs w:val="24"/>
        </w:rPr>
        <w:t xml:space="preserve"> At the beginning, the strategy seemed to be working based on the returns actualized from the first sale of the Nike stock (1.85%). However, as the period progressed, the overall portfolio performed poorly from all the sectors which led me to believe that the down turn was not only in one particular sector but in the overall stock market. Blue chip stocks such as Apple</w:t>
      </w:r>
      <w:r w:rsidR="00686F91">
        <w:rPr>
          <w:rFonts w:ascii="Times New Roman" w:hAnsi="Times New Roman" w:cs="Times New Roman"/>
          <w:sz w:val="24"/>
          <w:szCs w:val="24"/>
        </w:rPr>
        <w:t xml:space="preserve"> and Western Alliance posted poor performance. To avoid further down turn and further losses in the portfolio, I found it prudent to retract the investments in these stocks and thus somehow explaining the sort of poor performance in the portfolio. </w:t>
      </w:r>
    </w:p>
    <w:p w:rsidR="00686F91" w:rsidRPr="00751750" w:rsidRDefault="00F47CE3" w:rsidP="00132467">
      <w:pPr>
        <w:rPr>
          <w:rFonts w:ascii="Times New Roman" w:hAnsi="Times New Roman" w:cs="Times New Roman"/>
          <w:sz w:val="24"/>
          <w:szCs w:val="24"/>
        </w:rPr>
      </w:pPr>
      <w:r>
        <w:rPr>
          <w:rFonts w:ascii="Times New Roman" w:hAnsi="Times New Roman" w:cs="Times New Roman"/>
          <w:sz w:val="24"/>
          <w:szCs w:val="24"/>
        </w:rPr>
        <w:t>In summary, the overall effect of the decisions taken in thi</w:t>
      </w:r>
      <w:r w:rsidR="00686F91">
        <w:rPr>
          <w:rFonts w:ascii="Times New Roman" w:hAnsi="Times New Roman" w:cs="Times New Roman"/>
          <w:sz w:val="24"/>
          <w:szCs w:val="24"/>
        </w:rPr>
        <w:t>s investment</w:t>
      </w:r>
      <w:r>
        <w:rPr>
          <w:rFonts w:ascii="Times New Roman" w:hAnsi="Times New Roman" w:cs="Times New Roman"/>
          <w:sz w:val="24"/>
          <w:szCs w:val="24"/>
        </w:rPr>
        <w:t xml:space="preserve"> portfolio negatively affected</w:t>
      </w:r>
      <w:r w:rsidR="00686F91">
        <w:rPr>
          <w:rFonts w:ascii="Times New Roman" w:hAnsi="Times New Roman" w:cs="Times New Roman"/>
          <w:sz w:val="24"/>
          <w:szCs w:val="24"/>
        </w:rPr>
        <w:t xml:space="preserve"> the overall performance of the portfolio.</w:t>
      </w:r>
    </w:p>
    <w:sectPr w:rsidR="00686F91" w:rsidRPr="00751750" w:rsidSect="001A05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1F2"/>
    <w:rsid w:val="00132467"/>
    <w:rsid w:val="001A05A8"/>
    <w:rsid w:val="002B5669"/>
    <w:rsid w:val="00686F91"/>
    <w:rsid w:val="006B5B91"/>
    <w:rsid w:val="00751750"/>
    <w:rsid w:val="008009E8"/>
    <w:rsid w:val="00875936"/>
    <w:rsid w:val="009F78A8"/>
    <w:rsid w:val="00C231F2"/>
    <w:rsid w:val="00F15CB6"/>
    <w:rsid w:val="00F47C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C1A573-B787-4454-BF37-446016BDA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5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7381732">
      <w:bodyDiv w:val="1"/>
      <w:marLeft w:val="0"/>
      <w:marRight w:val="0"/>
      <w:marTop w:val="0"/>
      <w:marBottom w:val="0"/>
      <w:divBdr>
        <w:top w:val="none" w:sz="0" w:space="0" w:color="auto"/>
        <w:left w:val="none" w:sz="0" w:space="0" w:color="auto"/>
        <w:bottom w:val="none" w:sz="0" w:space="0" w:color="auto"/>
        <w:right w:val="none" w:sz="0" w:space="0" w:color="auto"/>
      </w:divBdr>
    </w:div>
    <w:div w:id="197787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Samm .</dc:creator>
  <cp:lastModifiedBy>Windows User</cp:lastModifiedBy>
  <cp:revision>2</cp:revision>
  <dcterms:created xsi:type="dcterms:W3CDTF">2018-12-12T05:09:00Z</dcterms:created>
  <dcterms:modified xsi:type="dcterms:W3CDTF">2018-12-12T05:09:00Z</dcterms:modified>
</cp:coreProperties>
</file>